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F43" w:rsidRDefault="007B2F4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200" w:line="276" w:lineRule="auto"/>
        <w:rPr>
          <w:rFonts w:ascii="Helvetica Neue" w:eastAsia="Helvetica Neue" w:hAnsi="Helvetica Neue" w:cs="Helvetica Neue"/>
        </w:rPr>
      </w:pPr>
      <w:bookmarkStart w:id="0" w:name="_GoBack"/>
      <w:bookmarkEnd w:id="0"/>
    </w:p>
    <w:p w:rsidR="007B2F43" w:rsidRDefault="0090481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color w:val="7F7F7F"/>
        </w:rPr>
      </w:pPr>
      <w:bookmarkStart w:id="1" w:name="_c3tgqca51ju7" w:colFirst="0" w:colLast="0"/>
      <w:bookmarkEnd w:id="1"/>
      <w:r>
        <w:rPr>
          <w:rFonts w:ascii="Arial" w:eastAsia="Arial" w:hAnsi="Arial" w:cs="Arial"/>
          <w:b/>
          <w:color w:val="7F7F7F"/>
        </w:rPr>
        <w:t>Nombre y apellido:</w:t>
      </w:r>
      <w:r>
        <w:rPr>
          <w:rFonts w:ascii="Arial" w:eastAsia="Arial" w:hAnsi="Arial" w:cs="Arial"/>
          <w:b/>
          <w:color w:val="7F7F7F"/>
        </w:rPr>
        <w:t>Natalia Olga Elias</w:t>
      </w:r>
    </w:p>
    <w:p w:rsidR="007B2F43" w:rsidRDefault="0090481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color w:val="7F7F7F"/>
        </w:rPr>
      </w:pPr>
      <w:r>
        <w:rPr>
          <w:rFonts w:ascii="Arial" w:eastAsia="Arial" w:hAnsi="Arial" w:cs="Arial"/>
          <w:b/>
          <w:color w:val="7F7F7F"/>
        </w:rPr>
        <w:t>Especialidad:Endocrinologí</w:t>
      </w:r>
      <w:r>
        <w:rPr>
          <w:rFonts w:ascii="Arial" w:eastAsia="Arial" w:hAnsi="Arial" w:cs="Arial"/>
          <w:b/>
          <w:color w:val="7F7F7F"/>
        </w:rPr>
        <w:t>a</w:t>
      </w:r>
    </w:p>
    <w:p w:rsidR="007B2F43" w:rsidRDefault="0090481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color w:val="7F7F7F"/>
          <w:sz w:val="28"/>
          <w:szCs w:val="28"/>
        </w:rPr>
      </w:pPr>
      <w:r>
        <w:rPr>
          <w:rFonts w:ascii="Arial" w:eastAsia="Arial" w:hAnsi="Arial" w:cs="Arial"/>
          <w:b/>
          <w:color w:val="7F7F7F"/>
        </w:rPr>
        <w:t>Número de matrícula del médico: 112.336</w:t>
      </w:r>
      <w:r>
        <w:rPr>
          <w:noProof/>
          <w:lang w:val="es-AR"/>
        </w:rPr>
        <w:drawing>
          <wp:anchor distT="152400" distB="152400" distL="152400" distR="152400" simplePos="0" relativeHeight="251658240" behindDoc="0" locked="0" layoutInCell="1" hidden="0" allowOverlap="1">
            <wp:simplePos x="0" y="0"/>
            <wp:positionH relativeFrom="margin">
              <wp:posOffset>-726349</wp:posOffset>
            </wp:positionH>
            <wp:positionV relativeFrom="paragraph">
              <wp:posOffset>384389</wp:posOffset>
            </wp:positionV>
            <wp:extent cx="7560057" cy="268261"/>
            <wp:effectExtent l="0" t="0" r="0" b="0"/>
            <wp:wrapTopAndBottom distT="152400" distB="152400"/>
            <wp:docPr id="4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B2F43" w:rsidRDefault="0090481E">
      <w:pPr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Médica Endocrinóloga y Osteóloga</w:t>
      </w:r>
      <w:r>
        <w:rPr>
          <w:rFonts w:ascii="Arial" w:eastAsia="Arial" w:hAnsi="Arial" w:cs="Arial"/>
          <w:color w:val="7F7F7F"/>
        </w:rPr>
        <w:t xml:space="preserve"> con amplia experiencia en docencia y en lo asistencial. Mis funciones son: atención médica en consultorio e internación, docencia e investigación en las áreas de fosfocálcico, tiroides, diabetes, suprarrenal, hipófisis, andrología y climaterio.</w:t>
      </w:r>
    </w:p>
    <w:p w:rsidR="007B2F43" w:rsidRDefault="0090481E">
      <w:pPr>
        <w:jc w:val="both"/>
        <w:rPr>
          <w:rFonts w:ascii="Arial" w:eastAsia="Arial" w:hAnsi="Arial" w:cs="Arial"/>
          <w:color w:val="7F7F7F"/>
          <w:sz w:val="22"/>
          <w:szCs w:val="22"/>
        </w:rPr>
      </w:pPr>
      <w:r>
        <w:rPr>
          <w:noProof/>
          <w:lang w:val="es-AR"/>
        </w:rPr>
        <w:drawing>
          <wp:anchor distT="152400" distB="152400" distL="152400" distR="152400" simplePos="0" relativeHeight="251659264" behindDoc="0" locked="0" layoutInCell="1" hidden="0" allowOverlap="1">
            <wp:simplePos x="0" y="0"/>
            <wp:positionH relativeFrom="margin">
              <wp:posOffset>-726349</wp:posOffset>
            </wp:positionH>
            <wp:positionV relativeFrom="paragraph">
              <wp:posOffset>181543</wp:posOffset>
            </wp:positionV>
            <wp:extent cx="7560057" cy="268261"/>
            <wp:effectExtent l="0" t="0" r="0" b="0"/>
            <wp:wrapTopAndBottom distT="152400" distB="152400"/>
            <wp:docPr id="3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B2F43" w:rsidRDefault="0090481E">
      <w:pPr>
        <w:ind w:left="280" w:hanging="140"/>
        <w:jc w:val="both"/>
        <w:rPr>
          <w:rFonts w:ascii="Arial" w:eastAsia="Arial" w:hAnsi="Arial" w:cs="Arial"/>
          <w:b/>
          <w:color w:val="7F7F7F"/>
          <w:u w:val="single"/>
        </w:rPr>
      </w:pPr>
      <w:r>
        <w:rPr>
          <w:rFonts w:ascii="Arial" w:eastAsia="Arial" w:hAnsi="Arial" w:cs="Arial"/>
          <w:b/>
          <w:color w:val="7F7F7F"/>
          <w:u w:val="single"/>
        </w:rPr>
        <w:t>Antecede</w:t>
      </w:r>
      <w:r>
        <w:rPr>
          <w:rFonts w:ascii="Arial" w:eastAsia="Arial" w:hAnsi="Arial" w:cs="Arial"/>
          <w:b/>
          <w:color w:val="7F7F7F"/>
          <w:u w:val="single"/>
        </w:rPr>
        <w:t>ntes de docencia:</w:t>
      </w:r>
    </w:p>
    <w:p w:rsidR="007B2F43" w:rsidRDefault="007B2F43">
      <w:pPr>
        <w:ind w:left="280" w:hanging="140"/>
        <w:jc w:val="both"/>
        <w:rPr>
          <w:rFonts w:ascii="Arial" w:eastAsia="Arial" w:hAnsi="Arial" w:cs="Arial"/>
          <w:color w:val="7F7F7F"/>
        </w:rPr>
      </w:pPr>
    </w:p>
    <w:p w:rsidR="007B2F43" w:rsidRDefault="0090481E">
      <w:pPr>
        <w:ind w:left="280" w:hanging="14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Docente de la materia Endocrinología y Nutrición de la Carrera de Medicina de la Universidad Católica Argentina</w:t>
      </w:r>
      <w:r>
        <w:rPr>
          <w:rFonts w:ascii="Arial" w:eastAsia="Arial" w:hAnsi="Arial" w:cs="Arial"/>
          <w:color w:val="7F7F7F"/>
        </w:rPr>
        <w:t>, Marzo/10-Actualmente.</w:t>
      </w:r>
    </w:p>
    <w:p w:rsidR="007B2F43" w:rsidRDefault="0090481E">
      <w:pPr>
        <w:ind w:left="140"/>
        <w:jc w:val="both"/>
        <w:rPr>
          <w:rFonts w:ascii="Arial" w:eastAsia="Arial" w:hAnsi="Arial" w:cs="Arial"/>
          <w:color w:val="7F7F7F"/>
        </w:rPr>
      </w:pPr>
      <w:r>
        <w:rPr>
          <w:color w:val="7F7F7F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color w:val="7F7F7F"/>
        </w:rPr>
        <w:t>Docente de la materia Endocrinología y Nutrición de la Carrera de Medicina de la Universidad de Buenos Aires</w:t>
      </w:r>
      <w:r>
        <w:rPr>
          <w:rFonts w:ascii="Arial" w:eastAsia="Arial" w:hAnsi="Arial" w:cs="Arial"/>
          <w:color w:val="7F7F7F"/>
        </w:rPr>
        <w:t>, Sept/09-Actualmente.</w:t>
      </w:r>
    </w:p>
    <w:p w:rsidR="007B2F43" w:rsidRDefault="0090481E">
      <w:pPr>
        <w:ind w:left="280" w:hanging="14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Auxiliar docente de la materia Endocrinología y Nutrición de la Carrera de Medicina de la Universidad de Favaloro</w:t>
      </w:r>
      <w:r>
        <w:rPr>
          <w:rFonts w:ascii="Arial" w:eastAsia="Arial" w:hAnsi="Arial" w:cs="Arial"/>
          <w:color w:val="7F7F7F"/>
        </w:rPr>
        <w:t>, Mar/08-Jun</w:t>
      </w:r>
      <w:r>
        <w:rPr>
          <w:rFonts w:ascii="Arial" w:eastAsia="Arial" w:hAnsi="Arial" w:cs="Arial"/>
          <w:color w:val="7F7F7F"/>
        </w:rPr>
        <w:t>io/09.</w:t>
      </w:r>
    </w:p>
    <w:p w:rsidR="007B2F43" w:rsidRDefault="0090481E">
      <w:pPr>
        <w:ind w:left="280" w:hanging="14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Auxiliar Docente, XII Curso  Anual  de Endocrinología, auspiciado por la Facultad de Medicina de la UBA 2008</w:t>
      </w:r>
      <w:r>
        <w:rPr>
          <w:rFonts w:ascii="Arial" w:eastAsia="Arial" w:hAnsi="Arial" w:cs="Arial"/>
          <w:color w:val="7F7F7F"/>
        </w:rPr>
        <w:t>, Mar-Julio/08.</w:t>
      </w:r>
    </w:p>
    <w:p w:rsidR="007B2F43" w:rsidRDefault="007B2F43">
      <w:pPr>
        <w:ind w:left="280" w:hanging="140"/>
        <w:jc w:val="both"/>
        <w:rPr>
          <w:rFonts w:ascii="Arial" w:eastAsia="Arial" w:hAnsi="Arial" w:cs="Arial"/>
          <w:b/>
          <w:color w:val="7F7F7F"/>
          <w:u w:val="single"/>
        </w:rPr>
      </w:pPr>
    </w:p>
    <w:p w:rsidR="007B2F43" w:rsidRDefault="0090481E">
      <w:pPr>
        <w:ind w:left="280" w:hanging="140"/>
        <w:jc w:val="both"/>
        <w:rPr>
          <w:rFonts w:ascii="Arial" w:eastAsia="Arial" w:hAnsi="Arial" w:cs="Arial"/>
          <w:b/>
          <w:color w:val="7F7F7F"/>
          <w:u w:val="single"/>
        </w:rPr>
      </w:pPr>
      <w:r>
        <w:rPr>
          <w:rFonts w:ascii="Arial" w:eastAsia="Arial" w:hAnsi="Arial" w:cs="Arial"/>
          <w:b/>
          <w:color w:val="7F7F7F"/>
          <w:u w:val="single"/>
        </w:rPr>
        <w:t>Antecedentes de investigación: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Bisphosphonate related osteonecrosis of the jaw: Risk factors. A case report</w:t>
      </w:r>
      <w:r>
        <w:rPr>
          <w:rFonts w:ascii="Arial" w:eastAsia="Arial" w:hAnsi="Arial" w:cs="Arial"/>
          <w:color w:val="7F7F7F"/>
        </w:rPr>
        <w:t>. ECE 2017.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Factores de riesgo de Osteonecrosis Mandibular por Bifosfonatos. A propósito de un caso.</w:t>
      </w:r>
      <w:r>
        <w:rPr>
          <w:rFonts w:ascii="Arial" w:eastAsia="Arial" w:hAnsi="Arial" w:cs="Arial"/>
          <w:b/>
          <w:color w:val="7F7F7F"/>
          <w:sz w:val="20"/>
          <w:szCs w:val="20"/>
          <w:highlight w:val="white"/>
        </w:rPr>
        <w:t xml:space="preserve"> </w:t>
      </w:r>
      <w:r>
        <w:rPr>
          <w:rFonts w:ascii="Arial" w:eastAsia="Arial" w:hAnsi="Arial" w:cs="Arial"/>
          <w:color w:val="7F7F7F"/>
        </w:rPr>
        <w:t>AAOMM/SAO 2016.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 xml:space="preserve">Sistema Bethesda: Estudio de las categorías IV, V Y VI y su hallazgo histopatológico, </w:t>
      </w:r>
      <w:r>
        <w:rPr>
          <w:rFonts w:ascii="Arial" w:eastAsia="Arial" w:hAnsi="Arial" w:cs="Arial"/>
          <w:color w:val="7F7F7F"/>
        </w:rPr>
        <w:t>FASEN 2014.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Hiperparatiroidismo primario asociado a Síndrome de W</w:t>
      </w:r>
      <w:r>
        <w:rPr>
          <w:rFonts w:ascii="Arial" w:eastAsia="Arial" w:hAnsi="Arial" w:cs="Arial"/>
          <w:b/>
          <w:color w:val="7F7F7F"/>
        </w:rPr>
        <w:t>illiams- Beuren</w:t>
      </w:r>
      <w:r>
        <w:rPr>
          <w:rFonts w:ascii="Arial" w:eastAsia="Arial" w:hAnsi="Arial" w:cs="Arial"/>
          <w:color w:val="7F7F7F"/>
        </w:rPr>
        <w:t>, SAEM 2013.</w:t>
      </w:r>
      <w:r>
        <w:rPr>
          <w:color w:val="7F7F7F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color w:val="7F7F7F"/>
        </w:rPr>
        <w:t xml:space="preserve">Fractura atípica por bifosfonatos, </w:t>
      </w:r>
      <w:r>
        <w:rPr>
          <w:rFonts w:ascii="Arial" w:eastAsia="Arial" w:hAnsi="Arial" w:cs="Arial"/>
          <w:color w:val="7F7F7F"/>
        </w:rPr>
        <w:t>Congreso Nacional de Medicina 2012.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Relación entre índices de porcentaje de grasa corporal con medidas antropométricas y de insulinoresistencia en una población con riesgo de desarrollar diabet</w:t>
      </w:r>
      <w:r>
        <w:rPr>
          <w:rFonts w:ascii="Arial" w:eastAsia="Arial" w:hAnsi="Arial" w:cs="Arial"/>
          <w:b/>
          <w:color w:val="7F7F7F"/>
        </w:rPr>
        <w:t>es</w:t>
      </w:r>
      <w:r>
        <w:rPr>
          <w:rFonts w:ascii="Arial" w:eastAsia="Arial" w:hAnsi="Arial" w:cs="Arial"/>
          <w:color w:val="7F7F7F"/>
        </w:rPr>
        <w:t>. Congreso SAD 2012.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lastRenderedPageBreak/>
        <w:t xml:space="preserve">Semana de la Obesidad y la Diabetes del Htal Británico de Bs As: detección de grupos de riesgo y seguimiento a un año, </w:t>
      </w:r>
      <w:r>
        <w:rPr>
          <w:rFonts w:ascii="Arial" w:eastAsia="Arial" w:hAnsi="Arial" w:cs="Arial"/>
          <w:color w:val="7F7F7F"/>
        </w:rPr>
        <w:t>SAEM 2011.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 xml:space="preserve">Comportamiento de PTH pos infusión con zoledronato anual, </w:t>
      </w:r>
      <w:r>
        <w:rPr>
          <w:rFonts w:ascii="Arial" w:eastAsia="Arial" w:hAnsi="Arial" w:cs="Arial"/>
          <w:color w:val="7F7F7F"/>
        </w:rPr>
        <w:t>Congreso SAO 2010.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Unusual presentation of In</w:t>
      </w:r>
      <w:r>
        <w:rPr>
          <w:rFonts w:ascii="Arial" w:eastAsia="Arial" w:hAnsi="Arial" w:cs="Arial"/>
          <w:b/>
          <w:color w:val="7F7F7F"/>
        </w:rPr>
        <w:t>trathyroidal parathyroid carcinoma, Clinical Case Reports</w:t>
      </w:r>
      <w:r>
        <w:rPr>
          <w:rFonts w:ascii="Arial" w:eastAsia="Arial" w:hAnsi="Arial" w:cs="Arial"/>
          <w:color w:val="7F7F7F"/>
        </w:rPr>
        <w:t>, Congreso Endo 2010.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color w:val="7F7F7F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color w:val="7F7F7F"/>
        </w:rPr>
        <w:t xml:space="preserve">Selenio y Autoinmunidad,  presentado en: </w:t>
      </w:r>
      <w:r>
        <w:rPr>
          <w:rFonts w:ascii="Arial" w:eastAsia="Arial" w:hAnsi="Arial" w:cs="Arial"/>
          <w:color w:val="7F7F7F"/>
        </w:rPr>
        <w:t>Congreso SLAT 2009.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 xml:space="preserve">Once yearly zoledronic acid. Security profile and changes in bone mineral density, </w:t>
      </w:r>
      <w:r>
        <w:rPr>
          <w:rFonts w:ascii="Arial" w:eastAsia="Arial" w:hAnsi="Arial" w:cs="Arial"/>
          <w:color w:val="7F7F7F"/>
        </w:rPr>
        <w:t xml:space="preserve"> 13th International Congress of </w:t>
      </w:r>
      <w:r>
        <w:rPr>
          <w:rFonts w:ascii="Arial" w:eastAsia="Arial" w:hAnsi="Arial" w:cs="Arial"/>
          <w:color w:val="7F7F7F"/>
        </w:rPr>
        <w:t>Endocrinology, ICE 2008.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 xml:space="preserve">Impacto gonadal del tratamiento con Iodo 131 en pacientes con carcinoma diferenciado de tiroides, </w:t>
      </w:r>
      <w:r>
        <w:rPr>
          <w:rFonts w:ascii="Arial" w:eastAsia="Arial" w:hAnsi="Arial" w:cs="Arial"/>
          <w:color w:val="7F7F7F"/>
        </w:rPr>
        <w:t>presentado en: Congreso FASEN 2008.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Adenomas Hipofisarios en pacientes añosos</w:t>
      </w:r>
      <w:r>
        <w:rPr>
          <w:rFonts w:ascii="Arial" w:eastAsia="Arial" w:hAnsi="Arial" w:cs="Arial"/>
          <w:color w:val="7F7F7F"/>
        </w:rPr>
        <w:t xml:space="preserve">, expuesto personalmente en: XV Congreso de la Sociedad </w:t>
      </w:r>
      <w:r>
        <w:rPr>
          <w:rFonts w:ascii="Arial" w:eastAsia="Arial" w:hAnsi="Arial" w:cs="Arial"/>
          <w:color w:val="7F7F7F"/>
        </w:rPr>
        <w:t>Argentina de Endocrinología y Metabolismo, Noviembre 2007, presentado en Pituitary 2007,  y en Endo 2007.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color w:val="7F7F7F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color w:val="7F7F7F"/>
        </w:rPr>
        <w:t>Hipertiroidismo</w:t>
      </w:r>
      <w:r>
        <w:rPr>
          <w:rFonts w:ascii="Arial" w:eastAsia="Arial" w:hAnsi="Arial" w:cs="Arial"/>
          <w:color w:val="7F7F7F"/>
        </w:rPr>
        <w:t>, presentado en: XLIII Jornadas Científicas Anuales del Hospital Durand, Noviembre 2007.</w:t>
      </w:r>
    </w:p>
    <w:p w:rsidR="007B2F43" w:rsidRDefault="0090481E">
      <w:pPr>
        <w:jc w:val="both"/>
        <w:rPr>
          <w:rFonts w:ascii="Arial" w:eastAsia="Arial" w:hAnsi="Arial" w:cs="Arial"/>
          <w:color w:val="7F7F7F"/>
          <w:sz w:val="22"/>
          <w:szCs w:val="22"/>
        </w:rPr>
      </w:pPr>
      <w:r>
        <w:rPr>
          <w:noProof/>
          <w:lang w:val="es-AR"/>
        </w:rPr>
        <w:drawing>
          <wp:anchor distT="152400" distB="152400" distL="152400" distR="152400" simplePos="0" relativeHeight="251660288" behindDoc="0" locked="0" layoutInCell="1" hidden="0" allowOverlap="1">
            <wp:simplePos x="0" y="0"/>
            <wp:positionH relativeFrom="margin">
              <wp:posOffset>-726349</wp:posOffset>
            </wp:positionH>
            <wp:positionV relativeFrom="paragraph">
              <wp:posOffset>204229</wp:posOffset>
            </wp:positionV>
            <wp:extent cx="7560057" cy="268261"/>
            <wp:effectExtent l="0" t="0" r="0" b="0"/>
            <wp:wrapTopAndBottom distT="152400" distB="152400"/>
            <wp:docPr id="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B2F43" w:rsidRDefault="0090481E">
      <w:pPr>
        <w:jc w:val="both"/>
        <w:rPr>
          <w:rFonts w:ascii="Arial" w:eastAsia="Arial" w:hAnsi="Arial" w:cs="Arial"/>
          <w:b/>
          <w:color w:val="7F7F7F"/>
        </w:rPr>
      </w:pPr>
      <w:r>
        <w:rPr>
          <w:rFonts w:ascii="Arial" w:eastAsia="Arial" w:hAnsi="Arial" w:cs="Arial"/>
          <w:b/>
          <w:color w:val="7F7F7F"/>
        </w:rPr>
        <w:t>Staff en Servicio de Endocrinología, Metabolismo, Nutrición y Diabetes en Hospital Británico de Buenos Aires desde el año 2009.</w:t>
      </w: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Residencia Completa de Clínica con Orientación en  Endocrinología</w:t>
      </w:r>
      <w:r>
        <w:rPr>
          <w:rFonts w:ascii="Arial" w:eastAsia="Arial" w:hAnsi="Arial" w:cs="Arial"/>
          <w:color w:val="7F7F7F"/>
        </w:rPr>
        <w:t xml:space="preserve">, Hospital Carlos G. Durand. 2004-2008. Promedio: 10. Rotación </w:t>
      </w:r>
      <w:r>
        <w:rPr>
          <w:rFonts w:ascii="Arial" w:eastAsia="Arial" w:hAnsi="Arial" w:cs="Arial"/>
          <w:color w:val="7F7F7F"/>
        </w:rPr>
        <w:t>por el servicio de Diabetes del Hospital Italiano.</w:t>
      </w:r>
    </w:p>
    <w:p w:rsidR="007B2F43" w:rsidRDefault="007B2F43">
      <w:pPr>
        <w:jc w:val="both"/>
        <w:rPr>
          <w:rFonts w:ascii="Arial" w:eastAsia="Arial" w:hAnsi="Arial" w:cs="Arial"/>
          <w:color w:val="7F7F7F"/>
        </w:rPr>
      </w:pPr>
    </w:p>
    <w:p w:rsidR="007B2F43" w:rsidRDefault="0090481E">
      <w:pPr>
        <w:jc w:val="both"/>
        <w:rPr>
          <w:rFonts w:ascii="Arial" w:eastAsia="Arial" w:hAnsi="Arial" w:cs="Arial"/>
          <w:color w:val="7F7F7F"/>
          <w:sz w:val="22"/>
          <w:szCs w:val="22"/>
        </w:rPr>
      </w:pPr>
      <w:r>
        <w:rPr>
          <w:noProof/>
          <w:lang w:val="es-AR"/>
        </w:rPr>
        <w:drawing>
          <wp:anchor distT="152400" distB="152400" distL="152400" distR="152400" simplePos="0" relativeHeight="251661312" behindDoc="0" locked="0" layoutInCell="1" hidden="0" allowOverlap="1">
            <wp:simplePos x="0" y="0"/>
            <wp:positionH relativeFrom="margin">
              <wp:posOffset>-726349</wp:posOffset>
            </wp:positionH>
            <wp:positionV relativeFrom="paragraph">
              <wp:posOffset>261136</wp:posOffset>
            </wp:positionV>
            <wp:extent cx="7560057" cy="268261"/>
            <wp:effectExtent l="0" t="0" r="0" b="0"/>
            <wp:wrapTopAndBottom distT="152400" distB="152400"/>
            <wp:docPr id="2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B2F43" w:rsidRDefault="0090481E">
      <w:pPr>
        <w:jc w:val="both"/>
        <w:rPr>
          <w:rFonts w:ascii="Arial" w:eastAsia="Arial" w:hAnsi="Arial" w:cs="Arial"/>
          <w:b/>
          <w:color w:val="7F7F7F"/>
        </w:rPr>
      </w:pPr>
      <w:r>
        <w:rPr>
          <w:rFonts w:ascii="Arial" w:eastAsia="Arial" w:hAnsi="Arial" w:cs="Arial"/>
          <w:b/>
          <w:color w:val="7F7F7F"/>
        </w:rPr>
        <w:t>Impacto  de la dosis de RUV solar en las variaciones estacionales de la 25OH vitamina D en jóvenes sanos de  Buenos Aires, Premio CAO 2006.</w:t>
      </w:r>
    </w:p>
    <w:p w:rsidR="007B2F43" w:rsidRDefault="007B2F43">
      <w:pPr>
        <w:jc w:val="both"/>
        <w:rPr>
          <w:rFonts w:ascii="Arial" w:eastAsia="Arial" w:hAnsi="Arial" w:cs="Arial"/>
          <w:b/>
          <w:color w:val="7F7F7F"/>
        </w:rPr>
      </w:pPr>
    </w:p>
    <w:p w:rsidR="007B2F43" w:rsidRDefault="0090481E">
      <w:pPr>
        <w:spacing w:before="20" w:after="20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b/>
          <w:color w:val="7F7F7F"/>
        </w:rPr>
        <w:t>Hipotiroidismo Subclínico, XLI Jornadas Científicas Anuales d</w:t>
      </w:r>
      <w:r>
        <w:rPr>
          <w:rFonts w:ascii="Arial" w:eastAsia="Arial" w:hAnsi="Arial" w:cs="Arial"/>
          <w:b/>
          <w:color w:val="7F7F7F"/>
        </w:rPr>
        <w:t>el Hospital Durand, Premio Accesit,</w:t>
      </w:r>
      <w:r>
        <w:rPr>
          <w:rFonts w:ascii="Arial" w:eastAsia="Arial" w:hAnsi="Arial" w:cs="Arial"/>
          <w:color w:val="7F7F7F"/>
        </w:rPr>
        <w:t xml:space="preserve"> Noviembre 2005.</w:t>
      </w:r>
    </w:p>
    <w:p w:rsidR="007B2F43" w:rsidRDefault="007B2F43">
      <w:pPr>
        <w:jc w:val="both"/>
        <w:rPr>
          <w:rFonts w:ascii="Helvetica Neue" w:eastAsia="Helvetica Neue" w:hAnsi="Helvetica Neue" w:cs="Helvetica Neue"/>
          <w:sz w:val="22"/>
          <w:szCs w:val="22"/>
        </w:rPr>
      </w:pPr>
    </w:p>
    <w:sectPr w:rsidR="007B2F43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3240" w:right="1134" w:bottom="1440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81E" w:rsidRDefault="0090481E">
      <w:r>
        <w:separator/>
      </w:r>
    </w:p>
  </w:endnote>
  <w:endnote w:type="continuationSeparator" w:id="0">
    <w:p w:rsidR="0090481E" w:rsidRDefault="00904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43" w:rsidRDefault="007B2F43">
    <w:pPr>
      <w:spacing w:after="85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43" w:rsidRDefault="007B2F4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81E" w:rsidRDefault="0090481E">
      <w:r>
        <w:separator/>
      </w:r>
    </w:p>
  </w:footnote>
  <w:footnote w:type="continuationSeparator" w:id="0">
    <w:p w:rsidR="0090481E" w:rsidRDefault="009048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43" w:rsidRDefault="0090481E">
    <w:pPr>
      <w:spacing w:before="709"/>
    </w:pPr>
    <w:r>
      <w:rPr>
        <w:noProof/>
        <w:lang w:val="es-AR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margin">
            <wp:posOffset>-720089</wp:posOffset>
          </wp:positionH>
          <wp:positionV relativeFrom="paragraph">
            <wp:posOffset>0</wp:posOffset>
          </wp:positionV>
          <wp:extent cx="7560057" cy="1682723"/>
          <wp:effectExtent l="0" t="0" r="0" b="0"/>
          <wp:wrapSquare wrapText="bothSides" distT="0" distB="0" distL="0" distR="0"/>
          <wp:docPr id="5" name="image10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43" w:rsidRDefault="007B2F4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B2F43"/>
    <w:rsid w:val="00105382"/>
    <w:rsid w:val="007B2F43"/>
    <w:rsid w:val="0090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it-IT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it-IT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Gomez</dc:creator>
  <cp:lastModifiedBy>Juliana Gomez</cp:lastModifiedBy>
  <cp:revision>2</cp:revision>
  <dcterms:created xsi:type="dcterms:W3CDTF">2017-08-29T20:37:00Z</dcterms:created>
  <dcterms:modified xsi:type="dcterms:W3CDTF">2017-08-29T20:37:00Z</dcterms:modified>
</cp:coreProperties>
</file>